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30" w:rsidRDefault="00385530" w:rsidP="00385530">
      <w:pPr>
        <w:pStyle w:val="1"/>
      </w:pPr>
      <w:r>
        <w:t>(141-32-2)丙烯酸丁酯的理化及危险特性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458"/>
        <w:gridCol w:w="2057"/>
        <w:gridCol w:w="2170"/>
      </w:tblGrid>
      <w:tr w:rsidR="0038553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中文名：丙烯酸丁酯(抑制了的)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n-butyl acrylate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12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128.17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UN编号：2348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；高闪点易燃液体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3601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CAS号：141-32-2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溶解性：不溶于水，可溶于乙醇、乙醚。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熔点（℃）：－64.6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沸点（℃）：145.7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相对密度（水＝1）：0.89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相对密度（空气＝1）：4.42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饱和蒸气压（kPa）：1.33(35.5℃)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385530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闪点（℃）：37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爆炸下限（%）：1.2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爆炸上限（%）：9.9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引燃温度（℃）：275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避免接触的条件：受热、光照。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强氧化剂、强碱、强酸。</w:t>
            </w:r>
          </w:p>
        </w:tc>
      </w:tr>
      <w:tr w:rsidR="00385530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易燃，遇明火、高温或与氧化剂接触，有引起燃烧爆炸的危险性。容易自聚，聚合反应随着温度的上升而急聚加剧。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灭火方法：用水灭火无效，但可用水保持火场容器冷却。消防人员必须穿戴全身防火防毒服。遇大火，消防人员须在有防护掩蔽出操作。灭火剂：泡沫、干粉、二氧化碳、砂土。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：900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2000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：14305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，4小时(大鼠吸入)；IARC致癌评论：动物可疑阳性，人类无可靠数据。 </w:t>
            </w:r>
          </w:p>
        </w:tc>
      </w:tr>
      <w:tr w:rsidR="00385530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385530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浓度接触，引起流涎、眼及呼吸道的刺激症状，严重者口唇发白、呼吸困难、痉挛，因肺水肿而死亡。误服急性中毒者，出现口腔、胃、食管腐蚀症状，伴有虚脱、呼吸困难、躁动等。长期接触可致皮肤损害，亦可致肺、肝、肾病变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 ※吸入：迅速脱离现场至空气新鲜处。保持呼吸道通畅。如呼吸困难，给输氧。如呼吸停止，立即进行人工呼吸，就医。    ※食入：饮足量温水，催吐，就医。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※呼吸系统防护：空气中浓度超标时，应该佩戴直接式防毒面具（半面罩）。必要时，佩戴导管式防毒面具或自给式呼吸器。    ※眼睛防护：戴化学安全防护眼镜。    ※身体防护：穿防静电工作服。    ※手防护：戴防苯耐油手套。其他：工作现场严禁吸烟。工作毕，淋浴更衣。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38553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85530" w:rsidRDefault="00385530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0" w:rsidRDefault="0038553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不可与空气接触。不宜大量或久存。应与氧化剂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0"/>
    <w:rsid w:val="0038553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6C04D-065C-40E9-A09B-A436E78E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8553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8553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zyhq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